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FE" w:rsidRPr="00E062A3" w:rsidRDefault="00834623">
      <w:pPr>
        <w:rPr>
          <w:b/>
          <w:color w:val="17365D" w:themeColor="text2" w:themeShade="BF"/>
          <w:sz w:val="28"/>
          <w:szCs w:val="28"/>
        </w:rPr>
      </w:pPr>
      <w:r w:rsidRPr="00E062A3">
        <w:rPr>
          <w:b/>
          <w:color w:val="17365D" w:themeColor="text2" w:themeShade="BF"/>
          <w:sz w:val="28"/>
          <w:szCs w:val="28"/>
        </w:rPr>
        <w:t xml:space="preserve">Monitoring a hodnocení MAS Královská stezka o.p.s. nezávislým subjektem </w:t>
      </w:r>
    </w:p>
    <w:p w:rsidR="00E062A3" w:rsidRDefault="00E062A3"/>
    <w:p w:rsidR="00834623" w:rsidRDefault="00047C8F">
      <w:r>
        <w:t>Dne: 27.6.2011</w:t>
      </w:r>
    </w:p>
    <w:p w:rsidR="00834623" w:rsidRDefault="00834623">
      <w:r>
        <w:t>Místo: Habry 66</w:t>
      </w:r>
    </w:p>
    <w:p w:rsidR="00834623" w:rsidRDefault="00834623">
      <w:r>
        <w:t>Hodnocení provádí: Jiří Zápotočný</w:t>
      </w:r>
    </w:p>
    <w:p w:rsidR="00834623" w:rsidRDefault="00834623">
      <w:r>
        <w:t>Hodnocení provádí organizace: MAS Podhůří Železných hor o.p.s.</w:t>
      </w:r>
    </w:p>
    <w:p w:rsidR="00AE648B" w:rsidRDefault="00AE648B"/>
    <w:p w:rsidR="00AE648B" w:rsidRDefault="00AE648B"/>
    <w:p w:rsidR="00834623" w:rsidRDefault="00834623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66329541"/>
        <w:docPartObj>
          <w:docPartGallery w:val="Table of Contents"/>
          <w:docPartUnique/>
        </w:docPartObj>
      </w:sdtPr>
      <w:sdtContent>
        <w:p w:rsidR="00834623" w:rsidRDefault="00834623">
          <w:pPr>
            <w:pStyle w:val="Nadpisobsahu"/>
          </w:pPr>
          <w:r>
            <w:t>Obsah</w:t>
          </w:r>
        </w:p>
        <w:p w:rsidR="00AE648B" w:rsidRDefault="0005259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834623">
            <w:instrText xml:space="preserve"> TOC \o "1-3" \h \z \u </w:instrText>
          </w:r>
          <w:r>
            <w:fldChar w:fldCharType="separate"/>
          </w:r>
          <w:hyperlink w:anchor="_Toc299019178" w:history="1">
            <w:r w:rsidR="00AE648B" w:rsidRPr="00606C82">
              <w:rPr>
                <w:rStyle w:val="Hypertextovodkaz"/>
                <w:noProof/>
              </w:rPr>
              <w:t>1.</w:t>
            </w:r>
            <w:r w:rsidR="00AE648B">
              <w:rPr>
                <w:rFonts w:eastAsiaTheme="minorEastAsia"/>
                <w:noProof/>
                <w:lang w:eastAsia="cs-CZ"/>
              </w:rPr>
              <w:tab/>
            </w:r>
            <w:r w:rsidR="00AE648B" w:rsidRPr="00606C82">
              <w:rPr>
                <w:rStyle w:val="Hypertextovodkaz"/>
                <w:noProof/>
              </w:rPr>
              <w:t>Naplňování monitorovacích kritérií MAS v rámci SPL</w:t>
            </w:r>
            <w:r w:rsidR="00AE648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648B">
              <w:rPr>
                <w:noProof/>
                <w:webHidden/>
              </w:rPr>
              <w:instrText xml:space="preserve"> PAGEREF _Toc299019178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721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648B" w:rsidRDefault="0005259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99019179" w:history="1">
            <w:r w:rsidR="00AE648B" w:rsidRPr="00606C82">
              <w:rPr>
                <w:rStyle w:val="Hypertextovodkaz"/>
                <w:noProof/>
              </w:rPr>
              <w:t>2.</w:t>
            </w:r>
            <w:r w:rsidR="00AE648B">
              <w:rPr>
                <w:rFonts w:eastAsiaTheme="minorEastAsia"/>
                <w:noProof/>
                <w:lang w:eastAsia="cs-CZ"/>
              </w:rPr>
              <w:tab/>
            </w:r>
            <w:r w:rsidR="00AE648B" w:rsidRPr="00606C82">
              <w:rPr>
                <w:rStyle w:val="Hypertextovodkaz"/>
                <w:noProof/>
              </w:rPr>
              <w:t>Naplňování monitorovacích indikátorů ISÚ nad rámec SPL</w:t>
            </w:r>
            <w:r w:rsidR="00AE648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648B">
              <w:rPr>
                <w:noProof/>
                <w:webHidden/>
              </w:rPr>
              <w:instrText xml:space="preserve"> PAGEREF _Toc299019179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72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648B" w:rsidRDefault="0005259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99019180" w:history="1">
            <w:r w:rsidR="00AE648B" w:rsidRPr="00606C82">
              <w:rPr>
                <w:rStyle w:val="Hypertextovodkaz"/>
                <w:noProof/>
              </w:rPr>
              <w:t>3.</w:t>
            </w:r>
            <w:r w:rsidR="00AE648B">
              <w:rPr>
                <w:rFonts w:eastAsiaTheme="minorEastAsia"/>
                <w:noProof/>
                <w:lang w:eastAsia="cs-CZ"/>
              </w:rPr>
              <w:tab/>
            </w:r>
            <w:r w:rsidR="00AE648B" w:rsidRPr="00606C82">
              <w:rPr>
                <w:rStyle w:val="Hypertextovodkaz"/>
                <w:noProof/>
              </w:rPr>
              <w:t>Hodnocení propagace MAS, SPL a komunikace MAS</w:t>
            </w:r>
            <w:r w:rsidR="00AE648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648B">
              <w:rPr>
                <w:noProof/>
                <w:webHidden/>
              </w:rPr>
              <w:instrText xml:space="preserve"> PAGEREF _Toc299019180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721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648B" w:rsidRDefault="0005259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99019181" w:history="1">
            <w:r w:rsidR="00AE648B" w:rsidRPr="00606C82">
              <w:rPr>
                <w:rStyle w:val="Hypertextovodkaz"/>
                <w:noProof/>
              </w:rPr>
              <w:t>4.</w:t>
            </w:r>
            <w:r w:rsidR="00AE648B">
              <w:rPr>
                <w:rFonts w:eastAsiaTheme="minorEastAsia"/>
                <w:noProof/>
                <w:lang w:eastAsia="cs-CZ"/>
              </w:rPr>
              <w:tab/>
            </w:r>
            <w:r w:rsidR="00AE648B" w:rsidRPr="00606C82">
              <w:rPr>
                <w:rStyle w:val="Hypertextovodkaz"/>
                <w:noProof/>
              </w:rPr>
              <w:t>Hodnocení personální</w:t>
            </w:r>
            <w:r w:rsidR="00AE648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648B">
              <w:rPr>
                <w:noProof/>
                <w:webHidden/>
              </w:rPr>
              <w:instrText xml:space="preserve"> PAGEREF _Toc299019181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721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648B" w:rsidRDefault="0005259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299019182" w:history="1">
            <w:r w:rsidR="00AE648B" w:rsidRPr="00606C82">
              <w:rPr>
                <w:rStyle w:val="Hypertextovodkaz"/>
                <w:noProof/>
              </w:rPr>
              <w:t>5.</w:t>
            </w:r>
            <w:r w:rsidR="00AE648B">
              <w:rPr>
                <w:rFonts w:eastAsiaTheme="minorEastAsia"/>
                <w:noProof/>
                <w:lang w:eastAsia="cs-CZ"/>
              </w:rPr>
              <w:tab/>
            </w:r>
            <w:r w:rsidR="00AE648B" w:rsidRPr="00606C82">
              <w:rPr>
                <w:rStyle w:val="Hypertextovodkaz"/>
                <w:noProof/>
              </w:rPr>
              <w:t>Finanční hospodaření</w:t>
            </w:r>
            <w:r w:rsidR="00AE648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E648B">
              <w:rPr>
                <w:noProof/>
                <w:webHidden/>
              </w:rPr>
              <w:instrText xml:space="preserve"> PAGEREF _Toc299019182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67213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34623" w:rsidRDefault="00052590">
          <w:r>
            <w:fldChar w:fldCharType="end"/>
          </w:r>
        </w:p>
      </w:sdtContent>
    </w:sdt>
    <w:p w:rsidR="00C058B4" w:rsidRDefault="00C058B4">
      <w:pPr>
        <w:rPr>
          <w:b/>
          <w:sz w:val="32"/>
          <w:szCs w:val="32"/>
        </w:rPr>
      </w:pPr>
    </w:p>
    <w:p w:rsidR="00AE648B" w:rsidRDefault="00AE648B">
      <w:pPr>
        <w:rPr>
          <w:b/>
          <w:sz w:val="32"/>
          <w:szCs w:val="32"/>
        </w:rPr>
      </w:pPr>
    </w:p>
    <w:p w:rsidR="00AE648B" w:rsidRDefault="00AE648B">
      <w:pPr>
        <w:rPr>
          <w:b/>
          <w:sz w:val="32"/>
          <w:szCs w:val="32"/>
        </w:rPr>
      </w:pPr>
    </w:p>
    <w:p w:rsidR="00AE648B" w:rsidRDefault="00AE648B">
      <w:pPr>
        <w:rPr>
          <w:b/>
          <w:sz w:val="32"/>
          <w:szCs w:val="32"/>
        </w:rPr>
      </w:pPr>
    </w:p>
    <w:p w:rsidR="00C058B4" w:rsidRDefault="00C058B4">
      <w:pPr>
        <w:rPr>
          <w:b/>
          <w:sz w:val="32"/>
          <w:szCs w:val="32"/>
        </w:rPr>
      </w:pPr>
    </w:p>
    <w:p w:rsidR="00834623" w:rsidRPr="00E062A3" w:rsidRDefault="00E062A3">
      <w:pPr>
        <w:rPr>
          <w:b/>
          <w:sz w:val="32"/>
          <w:szCs w:val="32"/>
        </w:rPr>
      </w:pPr>
      <w:r w:rsidRPr="00E062A3">
        <w:rPr>
          <w:b/>
          <w:sz w:val="32"/>
          <w:szCs w:val="32"/>
        </w:rPr>
        <w:t>Oblasti hodnocení:</w:t>
      </w:r>
    </w:p>
    <w:p w:rsidR="00834623" w:rsidRDefault="00834623" w:rsidP="00834623">
      <w:pPr>
        <w:pStyle w:val="Nadpis1"/>
        <w:numPr>
          <w:ilvl w:val="0"/>
          <w:numId w:val="2"/>
        </w:numPr>
      </w:pPr>
      <w:bookmarkStart w:id="0" w:name="_Toc299019178"/>
      <w:r>
        <w:t>Naplňování monitorovacích kritérií MAS v rámci SPL</w:t>
      </w:r>
      <w:bookmarkEnd w:id="0"/>
    </w:p>
    <w:p w:rsidR="00201024" w:rsidRDefault="002F5F7C" w:rsidP="000456D8">
      <w:r>
        <w:t>MAS naplňuje 81,5</w:t>
      </w:r>
      <w:r w:rsidR="00555AA7">
        <w:t>% monitorovacích indikátorů</w:t>
      </w:r>
      <w:r>
        <w:t xml:space="preserve"> na 100 a více procent</w:t>
      </w:r>
      <w:r w:rsidR="00555AA7">
        <w:t>.</w:t>
      </w:r>
      <w:r w:rsidR="00C058B4">
        <w:t xml:space="preserve"> Čísla jsou stažena ke konci roku 2010 a také k 31.6.2011, více níže v tabulce.</w:t>
      </w:r>
      <w:r w:rsidR="00555AA7">
        <w:t xml:space="preserve"> MAS si indikátory nast</w:t>
      </w:r>
      <w:r w:rsidR="00201024">
        <w:t>a</w:t>
      </w:r>
      <w:r w:rsidR="00555AA7">
        <w:t>vila</w:t>
      </w:r>
      <w:r w:rsidR="00201024">
        <w:t xml:space="preserve"> reálně. MAS má velkou paletu indikátorů a občas se překrývají, nebo není stanovena přesná hranice</w:t>
      </w:r>
      <w:r w:rsidR="00C3456E">
        <w:t>, nebo není nastavena měrná jednotka</w:t>
      </w:r>
      <w:r w:rsidR="00201024">
        <w:t>.</w:t>
      </w:r>
      <w:r w:rsidR="00C3456E">
        <w:t xml:space="preserve"> Doporučujeme ubrat monitorovacích indikátorů, které </w:t>
      </w:r>
      <w:r w:rsidR="00C058B4">
        <w:t>nejsou jasně definované.</w:t>
      </w:r>
      <w:r w:rsidR="00201024">
        <w:t xml:space="preserve"> </w:t>
      </w:r>
    </w:p>
    <w:tbl>
      <w:tblPr>
        <w:tblpPr w:leftFromText="141" w:rightFromText="141" w:vertAnchor="text" w:horzAnchor="margin" w:tblpXSpec="center" w:tblpY="-418"/>
        <w:tblW w:w="10347" w:type="dxa"/>
        <w:tblCellMar>
          <w:left w:w="70" w:type="dxa"/>
          <w:right w:w="70" w:type="dxa"/>
        </w:tblCellMar>
        <w:tblLook w:val="04A0"/>
      </w:tblPr>
      <w:tblGrid>
        <w:gridCol w:w="3934"/>
        <w:gridCol w:w="1848"/>
        <w:gridCol w:w="1385"/>
        <w:gridCol w:w="1086"/>
        <w:gridCol w:w="1086"/>
        <w:gridCol w:w="1107"/>
      </w:tblGrid>
      <w:tr w:rsidR="00E065F3" w:rsidRPr="00E82953" w:rsidTr="009536CD">
        <w:trPr>
          <w:trHeight w:val="1220"/>
        </w:trPr>
        <w:tc>
          <w:tcPr>
            <w:tcW w:w="39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Monitorovací indikátory plánované v SPL</w:t>
            </w:r>
          </w:p>
        </w:tc>
        <w:tc>
          <w:tcPr>
            <w:tcW w:w="184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Monitorovací indikátory naplněné od 1.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D06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D06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2011 do 30.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D06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D06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13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Monitorovací indikátory naplněné do 31.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  <w:r w:rsidRPr="00D06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12. 2010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Průběžná REALITA 2009/2013</w:t>
            </w:r>
          </w:p>
        </w:tc>
        <w:tc>
          <w:tcPr>
            <w:tcW w:w="10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Plán ROK 2009/2010</w:t>
            </w:r>
          </w:p>
        </w:tc>
        <w:tc>
          <w:tcPr>
            <w:tcW w:w="100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E82953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E8295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Procento naplnění indikátoru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realizovaných projektů celkem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Počet projektů do občanské vybavenosti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</w:t>
            </w:r>
          </w:p>
        </w:tc>
      </w:tr>
      <w:tr w:rsidR="00E065F3" w:rsidRPr="00D066DB" w:rsidTr="009536CD">
        <w:trPr>
          <w:trHeight w:val="593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projektů zaměřených převážně či přednostně na mladé lidi a na ženy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</w:tr>
      <w:tr w:rsidR="00E065F3" w:rsidRPr="00D066DB" w:rsidTr="009536CD">
        <w:trPr>
          <w:trHeight w:val="593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projektů obcí realizovaných metodami komunitního plánování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aplikací ekologických principů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167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akcí pro občany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upravených prostranství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233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aplikací ekologicky šetrných materiálů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433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opatření zlepšujících kvalitu ŽP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</w:t>
            </w:r>
          </w:p>
        </w:tc>
      </w:tr>
      <w:tr w:rsidR="00E065F3" w:rsidRPr="00D066DB" w:rsidTr="009536CD">
        <w:trPr>
          <w:trHeight w:val="593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Ekologicky šetrná mechanizace/technologie (kusů)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</w:t>
            </w:r>
          </w:p>
        </w:tc>
      </w:tr>
      <w:tr w:rsidR="00E065F3" w:rsidRPr="00D066DB" w:rsidTr="009536CD">
        <w:trPr>
          <w:trHeight w:val="593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vybudovaných/zrekonstruovaných objektů občanské vybavenosti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občanů zapojených do přípravy projektů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studií obnovy a programů regenerace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revitalizovaných objektů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vytvořených muzeí, expozic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opravených vybudovaných objektů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E065F3" w:rsidRPr="00D066DB" w:rsidTr="009536CD">
        <w:trPr>
          <w:trHeight w:val="889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zrekonstruovaných vybav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ených přestavěných objektů, kter</w:t>
            </w: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é budou sloužit k nezemědělským aktivitám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E065F3" w:rsidRPr="00D066DB" w:rsidTr="009536CD">
        <w:trPr>
          <w:trHeight w:val="593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zemědělců, kteří diverzifikují svou činnost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E065F3" w:rsidRPr="00D066DB" w:rsidTr="009536CD">
        <w:trPr>
          <w:trHeight w:val="593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zemědělských a potravinářských produktů s přidanou hodnotou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65F3" w:rsidRPr="00D066DB" w:rsidTr="009536CD">
        <w:trPr>
          <w:trHeight w:val="593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vybudovaných/zrekonstruovaných lesních cest stezek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E065F3" w:rsidRPr="00D066DB" w:rsidTr="009536CD">
        <w:trPr>
          <w:trHeight w:val="889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vybudovaných objektů pro zajišťování údržby lesa pro turistické využití a pro zlepšení bezpečnosti návštěvníků lesa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E065F3" w:rsidRPr="00D066DB" w:rsidTr="009536CD">
        <w:trPr>
          <w:trHeight w:val="593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doprovodné infrastruktury (navazující na vybudované objekty)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kusů ekologicky šetrné mechanizace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inovací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65F3" w:rsidRPr="00D066DB" w:rsidTr="009536CD">
        <w:trPr>
          <w:trHeight w:val="593"/>
        </w:trPr>
        <w:tc>
          <w:tcPr>
            <w:tcW w:w="39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nově vybudovaných/zrekonstruovaných objektů určených pro ČR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podpořených organizací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absolventů kurzů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</w:t>
            </w:r>
          </w:p>
        </w:tc>
      </w:tr>
      <w:tr w:rsidR="00E065F3" w:rsidRPr="00D066DB" w:rsidTr="009536CD">
        <w:trPr>
          <w:trHeight w:val="296"/>
        </w:trPr>
        <w:tc>
          <w:tcPr>
            <w:tcW w:w="393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Počet vzdělávacích akcí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</w:t>
            </w:r>
          </w:p>
        </w:tc>
      </w:tr>
      <w:tr w:rsidR="00E065F3" w:rsidRPr="00D066DB" w:rsidTr="009536CD">
        <w:trPr>
          <w:trHeight w:val="314"/>
        </w:trPr>
        <w:tc>
          <w:tcPr>
            <w:tcW w:w="393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E065F3" w:rsidRPr="00D066DB" w:rsidRDefault="00E065F3" w:rsidP="009536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Počet vzdělávacích programů</w:t>
            </w:r>
          </w:p>
        </w:tc>
        <w:tc>
          <w:tcPr>
            <w:tcW w:w="18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066D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065F3" w:rsidRPr="00D066DB" w:rsidRDefault="00E065F3" w:rsidP="00953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066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</w:tbl>
    <w:p w:rsidR="008D6683" w:rsidRDefault="00E065F3" w:rsidP="000456D8">
      <w:r>
        <w:t>Vložena nová tabulka</w:t>
      </w:r>
    </w:p>
    <w:tbl>
      <w:tblPr>
        <w:tblpPr w:leftFromText="141" w:rightFromText="141" w:vertAnchor="text" w:horzAnchor="margin" w:tblpY="-2"/>
        <w:tblW w:w="10276" w:type="dxa"/>
        <w:tblCellMar>
          <w:left w:w="70" w:type="dxa"/>
          <w:right w:w="70" w:type="dxa"/>
        </w:tblCellMar>
        <w:tblLook w:val="04A0"/>
      </w:tblPr>
      <w:tblGrid>
        <w:gridCol w:w="3877"/>
        <w:gridCol w:w="1822"/>
        <w:gridCol w:w="1353"/>
        <w:gridCol w:w="1025"/>
        <w:gridCol w:w="1046"/>
        <w:gridCol w:w="1153"/>
      </w:tblGrid>
      <w:tr w:rsidR="008D6683" w:rsidRPr="008D6683" w:rsidTr="00E065F3">
        <w:trPr>
          <w:trHeight w:val="1059"/>
        </w:trPr>
        <w:tc>
          <w:tcPr>
            <w:tcW w:w="38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Monitorovací indikátory plánované v SPL</w:t>
            </w:r>
          </w:p>
        </w:tc>
        <w:tc>
          <w:tcPr>
            <w:tcW w:w="182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Monitorovací indikátory naplněné od 1.1.2011 do 30.6.2011</w:t>
            </w:r>
          </w:p>
        </w:tc>
        <w:tc>
          <w:tcPr>
            <w:tcW w:w="135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Monitorovací indikátory naplněné do 31.12. 2010</w:t>
            </w:r>
          </w:p>
        </w:tc>
        <w:tc>
          <w:tcPr>
            <w:tcW w:w="102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b/>
                <w:bCs/>
                <w:color w:val="00B0F0"/>
                <w:sz w:val="18"/>
                <w:szCs w:val="18"/>
                <w:lang w:eastAsia="cs-CZ"/>
              </w:rPr>
              <w:t>Průběžná REALITA 2009/2013</w:t>
            </w:r>
          </w:p>
        </w:tc>
        <w:tc>
          <w:tcPr>
            <w:tcW w:w="10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Plán ROK 2009/2010</w:t>
            </w:r>
          </w:p>
        </w:tc>
        <w:tc>
          <w:tcPr>
            <w:tcW w:w="115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Procento naplnění indikátoru 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realizovaných projektů celkem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150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Počet projektů do občanské vybavenosti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160</w:t>
            </w:r>
          </w:p>
        </w:tc>
      </w:tr>
      <w:tr w:rsidR="008D6683" w:rsidRPr="008D6683" w:rsidTr="00E065F3">
        <w:trPr>
          <w:trHeight w:val="514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projektů zaměřených převážně či přednostně na mladé lidi a na ženy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</w:t>
            </w:r>
          </w:p>
        </w:tc>
      </w:tr>
      <w:tr w:rsidR="008D6683" w:rsidRPr="008D6683" w:rsidTr="00E065F3">
        <w:trPr>
          <w:trHeight w:val="514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projektů obcí realizovaných metodami komunitního plánování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133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aplikací ekologických principů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167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akcí pro občany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upravených prostranství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233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aplikací ekologicky šetrných materiálů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433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opatření zlepšujících kvalitu ŽP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400</w:t>
            </w:r>
          </w:p>
        </w:tc>
      </w:tr>
      <w:tr w:rsidR="008D6683" w:rsidRPr="008D6683" w:rsidTr="00E065F3">
        <w:trPr>
          <w:trHeight w:val="514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Ekologicky šetrná mechanizace/technologie (kusů)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300</w:t>
            </w:r>
          </w:p>
        </w:tc>
      </w:tr>
      <w:tr w:rsidR="008D6683" w:rsidRPr="008D6683" w:rsidTr="00E065F3">
        <w:trPr>
          <w:trHeight w:val="514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vybudovaných/zrekonstruovaných objektů občanské vybavenosti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800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občanů zapojených do přípravy projektů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153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studií obnovy a programů regenerace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revitalizovaných objektů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vytvořených muzeí, expozic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E065F3" w:rsidP="00E065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opravených vybudovaných objektů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</w:tr>
      <w:tr w:rsidR="008D6683" w:rsidRPr="008D6683" w:rsidTr="00E065F3">
        <w:trPr>
          <w:trHeight w:val="772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zrekonstruovaných vybavených přestavěných objektů, kteřé budou sloužit k nezemědělským aktivitám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</w:tr>
      <w:tr w:rsidR="008D6683" w:rsidRPr="008D6683" w:rsidTr="00E065F3">
        <w:trPr>
          <w:trHeight w:val="514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zemědělců, kteří diverzifikují svou činnost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</w:tr>
      <w:tr w:rsidR="008D6683" w:rsidRPr="008D6683" w:rsidTr="00E065F3">
        <w:trPr>
          <w:trHeight w:val="514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zemědělských a potravinářských produktů s přidanou hodnotou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E065F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8D6683" w:rsidRPr="008D6683" w:rsidTr="00E065F3">
        <w:trPr>
          <w:trHeight w:val="514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vybudovaných/zrekonstruovaných lesních cest stezek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8D6683" w:rsidRPr="008D6683" w:rsidTr="00E065F3">
        <w:trPr>
          <w:trHeight w:val="772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vybudovaných objektů pro zajišťování údržby lesa pro turistické využití a pro zlepšení bezpečnosti návštěvníků lesa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8D6683" w:rsidRPr="008D6683" w:rsidTr="00E065F3">
        <w:trPr>
          <w:trHeight w:val="514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doprovodné infrastruktury (navazující na vybudované objekty)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kusů ekologicky šetrné mechanizace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inovací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D6683" w:rsidRPr="008D6683" w:rsidTr="00E065F3">
        <w:trPr>
          <w:trHeight w:val="514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nově vybudovaných/zrekonstruovaných objektů určených pro ČR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podpořených organizací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280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absolventů kurzů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130</w:t>
            </w:r>
          </w:p>
        </w:tc>
      </w:tr>
      <w:tr w:rsidR="008D6683" w:rsidRPr="008D6683" w:rsidTr="00E065F3">
        <w:trPr>
          <w:trHeight w:val="257"/>
        </w:trPr>
        <w:tc>
          <w:tcPr>
            <w:tcW w:w="387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vzdělávacích akcí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120</w:t>
            </w:r>
          </w:p>
        </w:tc>
      </w:tr>
      <w:tr w:rsidR="008D6683" w:rsidRPr="008D6683" w:rsidTr="00E065F3">
        <w:trPr>
          <w:trHeight w:val="272"/>
        </w:trPr>
        <w:tc>
          <w:tcPr>
            <w:tcW w:w="387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Počet vzdělávacích programů</w:t>
            </w:r>
          </w:p>
        </w:tc>
        <w:tc>
          <w:tcPr>
            <w:tcW w:w="182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C99"/>
            <w:noWrap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8D6683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D6683" w:rsidRPr="008D6683" w:rsidRDefault="008D6683" w:rsidP="008D66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8D668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0</w:t>
            </w:r>
          </w:p>
        </w:tc>
      </w:tr>
    </w:tbl>
    <w:p w:rsidR="000456D8" w:rsidRPr="000456D8" w:rsidRDefault="00201024" w:rsidP="000456D8">
      <w:r w:rsidRPr="00207CFD">
        <w:rPr>
          <w:b/>
        </w:rPr>
        <w:lastRenderedPageBreak/>
        <w:t>Doporučení:</w:t>
      </w:r>
      <w:r>
        <w:t xml:space="preserve"> </w:t>
      </w:r>
      <w:r w:rsidR="00F36C5D">
        <w:t xml:space="preserve">Při aktualizaci SPL stanovit </w:t>
      </w:r>
      <w:r w:rsidR="00D67EAF">
        <w:t>výklad k nejasným indikáto</w:t>
      </w:r>
      <w:r w:rsidR="00207CFD">
        <w:t>rům. Dle aktualizace SPL a Fichí doporučuj</w:t>
      </w:r>
      <w:r w:rsidR="00C52062">
        <w:t>eme, dle aktualizace vytvořit nové a změnit stávající indikátory které neodpovídají cílům SPL a MAS je nechce naplňovat.</w:t>
      </w:r>
      <w:r w:rsidR="004741F4">
        <w:t xml:space="preserve"> MAS by se měla lépe zaměřit na indikátory ve vzdělávání</w:t>
      </w:r>
      <w:r w:rsidR="00C058B4">
        <w:t xml:space="preserve"> – tedy přesněji by měla podpořit vytvoření vzdělávacího programu, nebo může sama vzdělávací program vytvořit. Málo jsou prozatím prosazované, podporované a propagované opatření z</w:t>
      </w:r>
      <w:r w:rsidR="004741F4">
        <w:t xml:space="preserve"> CR</w:t>
      </w:r>
      <w:r w:rsidR="00C058B4">
        <w:t xml:space="preserve"> a lesnictví</w:t>
      </w:r>
      <w:r w:rsidR="004741F4">
        <w:t>.</w:t>
      </w:r>
      <w:r w:rsidR="00C058B4">
        <w:t xml:space="preserve">  MAS by si měla lépe definovat inovace, poté bude </w:t>
      </w:r>
      <w:r w:rsidR="004741F4">
        <w:t>naplnění inovací</w:t>
      </w:r>
      <w:r w:rsidR="006C405B">
        <w:t xml:space="preserve"> (stanovit </w:t>
      </w:r>
      <w:r w:rsidR="00C058B4">
        <w:t xml:space="preserve">přísněji </w:t>
      </w:r>
      <w:r w:rsidR="006C405B">
        <w:t>definici pro hodnotitele co je inovace)</w:t>
      </w:r>
      <w:r w:rsidR="00C058B4">
        <w:t xml:space="preserve"> sice hůře naplňováno, ale za inovace nebude bráno cokoli.</w:t>
      </w:r>
      <w:r w:rsidR="004741F4">
        <w:t xml:space="preserve"> </w:t>
      </w:r>
      <w:r w:rsidR="00C058B4">
        <w:t>MAS KS má více p</w:t>
      </w:r>
      <w:r w:rsidR="006C405B">
        <w:t>odporovat ekologicky a ekonomicky šetrné př</w:t>
      </w:r>
      <w:r w:rsidR="00C058B4">
        <w:t>ístroje a mechanizaci. MAS by se měla více zabývat studiemi z území, které neplní.</w:t>
      </w:r>
      <w:r w:rsidR="00E065F3">
        <w:t xml:space="preserve"> </w:t>
      </w:r>
    </w:p>
    <w:p w:rsidR="00834623" w:rsidRDefault="00834623" w:rsidP="00834623">
      <w:pPr>
        <w:pStyle w:val="Nadpis1"/>
        <w:numPr>
          <w:ilvl w:val="0"/>
          <w:numId w:val="2"/>
        </w:numPr>
      </w:pPr>
      <w:bookmarkStart w:id="1" w:name="_Toc299019179"/>
      <w:r>
        <w:t>Naplňování monitorovacích indikátorů ISÚ nad rámec SPL</w:t>
      </w:r>
      <w:bookmarkEnd w:id="1"/>
    </w:p>
    <w:p w:rsidR="00606A6A" w:rsidRDefault="00606A6A" w:rsidP="00834623">
      <w:r>
        <w:t>Indikátory, jež si MAS předsevzala naplňovat v rámci ISÚ jsou ke konci roku, tedy k datu kde je plán nastaven v ISÚ, naplněny více než dostatečně</w:t>
      </w:r>
    </w:p>
    <w:p w:rsidR="00526044" w:rsidRDefault="00526044" w:rsidP="00834623">
      <w:r w:rsidRPr="005E55FF">
        <w:rPr>
          <w:b/>
        </w:rPr>
        <w:t>Doporučení:</w:t>
      </w:r>
      <w:r>
        <w:t xml:space="preserve"> Indikátory v ISÚ </w:t>
      </w:r>
      <w:r w:rsidR="00606A6A">
        <w:t>jsou zaměřeny především na měkké akce a dovednosti, pokud to strategie umožňuje, bylo by dobré zde přidat i tvrdé indikátory. U stávajících indikátorů by chtělo je přehodnotit</w:t>
      </w:r>
      <w:r w:rsidR="00000D9A">
        <w:t>,</w:t>
      </w:r>
      <w:r w:rsidR="00606A6A">
        <w:t xml:space="preserve"> neboť</w:t>
      </w:r>
      <w:r w:rsidR="00000D9A">
        <w:t xml:space="preserve"> některé jsou naplněny již nyní a cílové hodnoty by měli být vyšší.</w:t>
      </w:r>
    </w:p>
    <w:p w:rsidR="00047C8F" w:rsidRDefault="00047C8F" w:rsidP="00834623"/>
    <w:tbl>
      <w:tblPr>
        <w:tblW w:w="9043" w:type="dxa"/>
        <w:tblInd w:w="-38" w:type="dxa"/>
        <w:tblCellMar>
          <w:left w:w="70" w:type="dxa"/>
          <w:right w:w="70" w:type="dxa"/>
        </w:tblCellMar>
        <w:tblLook w:val="04A0"/>
      </w:tblPr>
      <w:tblGrid>
        <w:gridCol w:w="3588"/>
        <w:gridCol w:w="1728"/>
        <w:gridCol w:w="1777"/>
        <w:gridCol w:w="1950"/>
      </w:tblGrid>
      <w:tr w:rsidR="00606A6A" w:rsidRPr="00606A6A" w:rsidTr="00466D9C">
        <w:trPr>
          <w:trHeight w:val="315"/>
        </w:trPr>
        <w:tc>
          <w:tcPr>
            <w:tcW w:w="34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</w:pPr>
            <w:r w:rsidRPr="00606A6A">
              <w:rPr>
                <w:rFonts w:ascii="Arial" w:eastAsia="Times New Roman" w:hAnsi="Arial" w:cs="Arial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Plán 2009- 2010</w:t>
            </w:r>
          </w:p>
        </w:tc>
        <w:tc>
          <w:tcPr>
            <w:tcW w:w="171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6A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Plán 2009-2013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6A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Plnění k 31.6.2011</w:t>
            </w:r>
          </w:p>
        </w:tc>
      </w:tr>
      <w:tr w:rsidR="00606A6A" w:rsidRPr="00606A6A" w:rsidTr="00466D9C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FFFFFF"/>
                <w:lang w:eastAsia="cs-CZ"/>
              </w:rPr>
              <w:t xml:space="preserve">Poradenství nad rámec SPL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40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61</w:t>
            </w:r>
          </w:p>
        </w:tc>
      </w:tr>
      <w:tr w:rsidR="00606A6A" w:rsidRPr="00606A6A" w:rsidTr="00466D9C">
        <w:trPr>
          <w:trHeight w:val="300"/>
        </w:trPr>
        <w:tc>
          <w:tcPr>
            <w:tcW w:w="3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FFFFFF"/>
                <w:lang w:eastAsia="cs-CZ"/>
              </w:rPr>
              <w:t>Poradenství nad rámec SPL bez ŽP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6A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06A6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18</w:t>
            </w:r>
          </w:p>
        </w:tc>
      </w:tr>
      <w:tr w:rsidR="00606A6A" w:rsidRPr="00606A6A" w:rsidTr="00466D9C">
        <w:trPr>
          <w:trHeight w:val="300"/>
        </w:trPr>
        <w:tc>
          <w:tcPr>
            <w:tcW w:w="3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FFFFFF"/>
                <w:lang w:eastAsia="cs-CZ"/>
              </w:rPr>
              <w:t>Vypracování projektů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4</w:t>
            </w:r>
          </w:p>
        </w:tc>
      </w:tr>
      <w:tr w:rsidR="00606A6A" w:rsidRPr="00606A6A" w:rsidTr="00466D9C">
        <w:trPr>
          <w:trHeight w:val="300"/>
        </w:trPr>
        <w:tc>
          <w:tcPr>
            <w:tcW w:w="3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FFFFFF"/>
                <w:lang w:eastAsia="cs-CZ"/>
              </w:rPr>
              <w:t>Poradenství v ŽP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43</w:t>
            </w:r>
          </w:p>
        </w:tc>
      </w:tr>
      <w:tr w:rsidR="00606A6A" w:rsidRPr="00606A6A" w:rsidTr="00466D9C">
        <w:trPr>
          <w:trHeight w:val="300"/>
        </w:trPr>
        <w:tc>
          <w:tcPr>
            <w:tcW w:w="34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FFFFFF"/>
                <w:lang w:eastAsia="cs-CZ"/>
              </w:rPr>
              <w:t>Vzdělávání nad rámec SPL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6</w:t>
            </w:r>
          </w:p>
        </w:tc>
      </w:tr>
      <w:tr w:rsidR="00606A6A" w:rsidRPr="00606A6A" w:rsidTr="00466D9C">
        <w:trPr>
          <w:trHeight w:val="315"/>
        </w:trPr>
        <w:tc>
          <w:tcPr>
            <w:tcW w:w="34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7F7F7F"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rPr>
                <w:rFonts w:ascii="Calibri" w:eastAsia="Times New Roman" w:hAnsi="Calibri" w:cs="Arial"/>
                <w:color w:val="FFFFFF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FFFFFF"/>
                <w:lang w:eastAsia="cs-CZ"/>
              </w:rPr>
              <w:t>Kulturní akce MAS</w:t>
            </w:r>
          </w:p>
        </w:tc>
        <w:tc>
          <w:tcPr>
            <w:tcW w:w="16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2</w:t>
            </w:r>
          </w:p>
        </w:tc>
        <w:tc>
          <w:tcPr>
            <w:tcW w:w="17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C000"/>
            <w:noWrap/>
            <w:vAlign w:val="bottom"/>
            <w:hideMark/>
          </w:tcPr>
          <w:p w:rsidR="00606A6A" w:rsidRPr="00606A6A" w:rsidRDefault="00606A6A" w:rsidP="00606A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cs-CZ"/>
              </w:rPr>
            </w:pPr>
            <w:r w:rsidRPr="00606A6A">
              <w:rPr>
                <w:rFonts w:ascii="Calibri" w:eastAsia="Times New Roman" w:hAnsi="Calibri" w:cs="Arial"/>
                <w:color w:val="000000"/>
                <w:lang w:eastAsia="cs-CZ"/>
              </w:rPr>
              <w:t>6</w:t>
            </w:r>
          </w:p>
        </w:tc>
      </w:tr>
    </w:tbl>
    <w:p w:rsidR="00047C8F" w:rsidRDefault="00047C8F" w:rsidP="00834623"/>
    <w:p w:rsidR="002B2949" w:rsidRDefault="002B2949" w:rsidP="002B2949">
      <w:pPr>
        <w:pStyle w:val="Nadpis1"/>
        <w:numPr>
          <w:ilvl w:val="0"/>
          <w:numId w:val="2"/>
        </w:numPr>
      </w:pPr>
      <w:bookmarkStart w:id="2" w:name="_Toc299019180"/>
      <w:r>
        <w:t>Hodnocení propagace MAS</w:t>
      </w:r>
      <w:r w:rsidR="00526044">
        <w:t>,</w:t>
      </w:r>
      <w:r>
        <w:t xml:space="preserve"> SPL</w:t>
      </w:r>
      <w:r w:rsidR="00393280">
        <w:t xml:space="preserve"> a komunikace MAS</w:t>
      </w:r>
      <w:bookmarkEnd w:id="2"/>
    </w:p>
    <w:p w:rsidR="00000D9A" w:rsidRDefault="00526044" w:rsidP="00526044">
      <w:r>
        <w:t>MAS komunikuje pomocí ICQ, Skype, e-mailu, telefonem, v kanceláři i u žadatele</w:t>
      </w:r>
      <w:r w:rsidR="00000D9A">
        <w:t xml:space="preserve">, dělá pro žadatele semináře, má i stánek na různých kulturních akcích </w:t>
      </w:r>
      <w:r>
        <w:t>. Veškeré dotazy jsou zodpovězen</w:t>
      </w:r>
      <w:r w:rsidR="00000D9A">
        <w:t xml:space="preserve">y nejdéle do 3 </w:t>
      </w:r>
      <w:r>
        <w:t>pracovních dnů. MAS má jasně stanovenou dobu pobytu v kanceláři a je na místě v dané době.</w:t>
      </w:r>
    </w:p>
    <w:p w:rsidR="00000D9A" w:rsidRDefault="00000D9A" w:rsidP="00526044"/>
    <w:p w:rsidR="00526044" w:rsidRDefault="00000D9A" w:rsidP="00526044">
      <w:r w:rsidRPr="00000D9A">
        <w:rPr>
          <w:b/>
        </w:rPr>
        <w:t>Doporučení:</w:t>
      </w:r>
      <w:r>
        <w:t xml:space="preserve"> </w:t>
      </w:r>
      <w:r w:rsidR="00526044">
        <w:t xml:space="preserve"> </w:t>
      </w:r>
      <w:r>
        <w:t>Mas by se ještě měla pokusit vytvořit prezentaci v power pointu a propagační video a vše by měla místit na svůj web.</w:t>
      </w:r>
      <w:r w:rsidR="00E065F3">
        <w:t xml:space="preserve"> </w:t>
      </w:r>
    </w:p>
    <w:p w:rsidR="00000D9A" w:rsidRDefault="00000D9A" w:rsidP="00526044">
      <w:pPr>
        <w:rPr>
          <w:b/>
        </w:rPr>
      </w:pPr>
    </w:p>
    <w:p w:rsidR="00F236A4" w:rsidRDefault="00526044" w:rsidP="00526044">
      <w:r>
        <w:t>Propagace MAS na www stránkách je dobrá.</w:t>
      </w:r>
      <w:r w:rsidR="00F236A4">
        <w:t xml:space="preserve"> Propagace v novinách a časopisech je </w:t>
      </w:r>
      <w:r w:rsidR="00000D9A">
        <w:t xml:space="preserve">celkem </w:t>
      </w:r>
      <w:r w:rsidR="00F236A4">
        <w:t>dobrá</w:t>
      </w:r>
      <w:r w:rsidR="00000D9A">
        <w:t>, Mas by se měla pokusit své články prosadit do novin celoregionálních, né pouze lokálních</w:t>
      </w:r>
      <w:r w:rsidR="00F236A4">
        <w:t xml:space="preserve">. Mas vydává Newsletter. MAS rozesílá e-mailem novinky svým členům a  zájemcům. Mas propaguje sebe na </w:t>
      </w:r>
      <w:r w:rsidR="00E062A3">
        <w:t>Y</w:t>
      </w:r>
      <w:r w:rsidR="00F236A4">
        <w:t xml:space="preserve">outube. MAS má prezentace v powerpointu </w:t>
      </w:r>
      <w:r w:rsidR="00831ACA">
        <w:t>z projektu spolupráce, také vhodné umístit na web.</w:t>
      </w:r>
    </w:p>
    <w:p w:rsidR="00F236A4" w:rsidRDefault="00F236A4" w:rsidP="00526044"/>
    <w:p w:rsidR="00526044" w:rsidRPr="00526044" w:rsidRDefault="00F236A4" w:rsidP="00526044">
      <w:r w:rsidRPr="005E55FF">
        <w:rPr>
          <w:b/>
        </w:rPr>
        <w:t>Doporučení</w:t>
      </w:r>
      <w:r w:rsidR="005E55FF">
        <w:rPr>
          <w:b/>
        </w:rPr>
        <w:t xml:space="preserve"> propagace</w:t>
      </w:r>
      <w:r w:rsidRPr="005E55FF">
        <w:rPr>
          <w:b/>
        </w:rPr>
        <w:t>:</w:t>
      </w:r>
      <w:r>
        <w:t xml:space="preserve"> Propagace na Facebooku. MAS by se měla účastnit více propagačních akcí</w:t>
      </w:r>
      <w:r w:rsidR="00831ACA">
        <w:t xml:space="preserve"> v mimo své území</w:t>
      </w:r>
      <w:r>
        <w:t>.</w:t>
      </w:r>
    </w:p>
    <w:p w:rsidR="00526044" w:rsidRPr="00526044" w:rsidRDefault="00526044" w:rsidP="00526044"/>
    <w:p w:rsidR="002B2949" w:rsidRDefault="002B2949" w:rsidP="002B2949">
      <w:pPr>
        <w:pStyle w:val="Nadpis1"/>
        <w:numPr>
          <w:ilvl w:val="0"/>
          <w:numId w:val="2"/>
        </w:numPr>
      </w:pPr>
      <w:bookmarkStart w:id="3" w:name="_Toc299019181"/>
      <w:r>
        <w:t>Hodnocení personální</w:t>
      </w:r>
      <w:bookmarkEnd w:id="3"/>
    </w:p>
    <w:p w:rsidR="000456D8" w:rsidRDefault="00D57728" w:rsidP="000456D8">
      <w:r>
        <w:t xml:space="preserve">MAS má jednoho zaměstnance-manažera MAS a </w:t>
      </w:r>
      <w:r w:rsidR="00831ACA">
        <w:t>do konce března měla druhého zaměstnace</w:t>
      </w:r>
      <w:r>
        <w:t>.</w:t>
      </w:r>
      <w:r w:rsidR="00831ACA">
        <w:t xml:space="preserve"> Další zaměstnanec nastoupí od</w:t>
      </w:r>
      <w:r w:rsidR="00AE648B">
        <w:t xml:space="preserve"> půli července. V jednom zaměstnanci, nelze vykonávat všechny funkce MAS, proto doporučuji, co nejrychleji zaučit nového pracovníka</w:t>
      </w:r>
      <w:r>
        <w:t xml:space="preserve"> </w:t>
      </w:r>
    </w:p>
    <w:p w:rsidR="00AE648B" w:rsidRDefault="002C702B" w:rsidP="000456D8">
      <w:r>
        <w:t>Manažer zajišťuje ve</w:t>
      </w:r>
      <w:r w:rsidR="002F7B09">
        <w:t xml:space="preserve">škeré činnosti vztahující se k SPL, ISÚ a další činnosti. </w:t>
      </w:r>
    </w:p>
    <w:p w:rsidR="00AE648B" w:rsidRDefault="00AE648B" w:rsidP="000456D8">
      <w:r>
        <w:t>MAS proti minulému roku již má služby účetní a neplatí vlastní účetní, co je velký posun v kvalitě a finančních úsporách kupředu.</w:t>
      </w:r>
    </w:p>
    <w:p w:rsidR="00555AA7" w:rsidRDefault="00AE1BD7" w:rsidP="000456D8">
      <w:r w:rsidRPr="005E55FF">
        <w:rPr>
          <w:b/>
        </w:rPr>
        <w:t>Doporučení:</w:t>
      </w:r>
      <w:r>
        <w:t xml:space="preserve"> MAS by potřebovala ještě </w:t>
      </w:r>
      <w:r w:rsidR="00AE648B">
        <w:t>rychle zaškolit</w:t>
      </w:r>
      <w:r>
        <w:t xml:space="preserve"> zaměstnance, který by podporoval manažera ve své činnosti. Manažer díky časové vytíženosti neplní dostatečně činnosti:</w:t>
      </w:r>
      <w:r w:rsidR="003467F2">
        <w:t xml:space="preserve"> propagace, vzdělávání, www aktualizace, apod.</w:t>
      </w:r>
      <w:r w:rsidR="005E55FF">
        <w:t xml:space="preserve"> Manažer má být na propagačních akcích a vzdělávacích akcích, pořádat vzdělávací a propagační akce, řešit rozšiřování území, rozpočet MAS. Administrativní procesy musí zajišťovat administrativní pracovník. </w:t>
      </w:r>
    </w:p>
    <w:p w:rsidR="00555AA7" w:rsidRDefault="00555AA7" w:rsidP="000456D8"/>
    <w:p w:rsidR="000456D8" w:rsidRPr="000456D8" w:rsidRDefault="00555AA7" w:rsidP="000456D8">
      <w:pPr>
        <w:pStyle w:val="Nadpis1"/>
        <w:numPr>
          <w:ilvl w:val="0"/>
          <w:numId w:val="2"/>
        </w:numPr>
      </w:pPr>
      <w:bookmarkStart w:id="4" w:name="_Toc299019182"/>
      <w:r>
        <w:t>Finanční hospodaření</w:t>
      </w:r>
      <w:bookmarkEnd w:id="4"/>
    </w:p>
    <w:p w:rsidR="00834623" w:rsidRDefault="003736A2" w:rsidP="00834623">
      <w:r>
        <w:t xml:space="preserve">Hospodaření MAS </w:t>
      </w:r>
      <w:r w:rsidR="00AE648B">
        <w:t>se proti roku 2010 v roce 2011 výrazně zlepšilo, je to dáno především tím, že SZIF zaplatil peníze, které dlouhodobě dlužil MAS a MAS nemusí díky tomu platit tak vysoké úroky.</w:t>
      </w:r>
    </w:p>
    <w:p w:rsidR="003736A2" w:rsidRPr="00834623" w:rsidRDefault="003736A2" w:rsidP="00834623">
      <w:r w:rsidRPr="005E55FF">
        <w:rPr>
          <w:b/>
        </w:rPr>
        <w:t>Doporučení:</w:t>
      </w:r>
      <w:r>
        <w:t xml:space="preserve"> </w:t>
      </w:r>
      <w:r w:rsidR="00AE648B">
        <w:t xml:space="preserve">Z hospodářské hlediska je vhodné dále </w:t>
      </w:r>
      <w:r w:rsidR="005E55FF">
        <w:t>rozšířit území MAS o větší města např.: Ledeč n. S., Světlá n. S.</w:t>
      </w:r>
      <w:r w:rsidR="00AE648B">
        <w:t xml:space="preserve"> a další sídla.</w:t>
      </w:r>
    </w:p>
    <w:p w:rsidR="00834623" w:rsidRDefault="00834623" w:rsidP="00834623">
      <w:pPr>
        <w:pStyle w:val="Nadpis1"/>
      </w:pPr>
    </w:p>
    <w:p w:rsidR="00834623" w:rsidRDefault="00834623"/>
    <w:sectPr w:rsidR="00834623" w:rsidSect="004C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3F6"/>
    <w:multiLevelType w:val="hybridMultilevel"/>
    <w:tmpl w:val="6EBA2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064B"/>
    <w:multiLevelType w:val="hybridMultilevel"/>
    <w:tmpl w:val="53880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compat/>
  <w:rsids>
    <w:rsidRoot w:val="00834623"/>
    <w:rsid w:val="00000D9A"/>
    <w:rsid w:val="000456D8"/>
    <w:rsid w:val="00047C8F"/>
    <w:rsid w:val="00052590"/>
    <w:rsid w:val="001E2284"/>
    <w:rsid w:val="001F2A9C"/>
    <w:rsid w:val="00201024"/>
    <w:rsid w:val="00207CFD"/>
    <w:rsid w:val="002B2949"/>
    <w:rsid w:val="002C702B"/>
    <w:rsid w:val="002F5F7C"/>
    <w:rsid w:val="002F7B09"/>
    <w:rsid w:val="003074CB"/>
    <w:rsid w:val="003467F2"/>
    <w:rsid w:val="003736A2"/>
    <w:rsid w:val="00393280"/>
    <w:rsid w:val="00466D9C"/>
    <w:rsid w:val="00470A81"/>
    <w:rsid w:val="004741F4"/>
    <w:rsid w:val="004C09FE"/>
    <w:rsid w:val="00526044"/>
    <w:rsid w:val="00555AA7"/>
    <w:rsid w:val="00590283"/>
    <w:rsid w:val="005E55FF"/>
    <w:rsid w:val="006061EA"/>
    <w:rsid w:val="00606A6A"/>
    <w:rsid w:val="006119BD"/>
    <w:rsid w:val="006C405B"/>
    <w:rsid w:val="00767213"/>
    <w:rsid w:val="007C023D"/>
    <w:rsid w:val="00831ACA"/>
    <w:rsid w:val="00834623"/>
    <w:rsid w:val="008D6683"/>
    <w:rsid w:val="00944B94"/>
    <w:rsid w:val="0099384C"/>
    <w:rsid w:val="00AE1BD7"/>
    <w:rsid w:val="00AE648B"/>
    <w:rsid w:val="00AF08D5"/>
    <w:rsid w:val="00BB515E"/>
    <w:rsid w:val="00C058B4"/>
    <w:rsid w:val="00C138C5"/>
    <w:rsid w:val="00C3456E"/>
    <w:rsid w:val="00C419F1"/>
    <w:rsid w:val="00C52062"/>
    <w:rsid w:val="00C94816"/>
    <w:rsid w:val="00D57728"/>
    <w:rsid w:val="00D67EAF"/>
    <w:rsid w:val="00E00828"/>
    <w:rsid w:val="00E062A3"/>
    <w:rsid w:val="00E065F3"/>
    <w:rsid w:val="00F236A4"/>
    <w:rsid w:val="00F36C5D"/>
    <w:rsid w:val="00F71705"/>
    <w:rsid w:val="00FE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9FE"/>
  </w:style>
  <w:style w:type="paragraph" w:styleId="Nadpis1">
    <w:name w:val="heading 1"/>
    <w:basedOn w:val="Normln"/>
    <w:next w:val="Normln"/>
    <w:link w:val="Nadpis1Char"/>
    <w:uiPriority w:val="9"/>
    <w:qFormat/>
    <w:rsid w:val="00834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34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62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34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34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4623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834623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8346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F4F1-2DC5-492E-8AA2-2990D2A6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1298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Gustík</dc:creator>
  <cp:lastModifiedBy>Kájuška</cp:lastModifiedBy>
  <cp:revision>18</cp:revision>
  <cp:lastPrinted>2011-07-21T11:48:00Z</cp:lastPrinted>
  <dcterms:created xsi:type="dcterms:W3CDTF">2011-07-21T09:31:00Z</dcterms:created>
  <dcterms:modified xsi:type="dcterms:W3CDTF">2012-07-30T08:24:00Z</dcterms:modified>
</cp:coreProperties>
</file>